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8B" w:rsidRDefault="004C7F8B" w:rsidP="004C7F8B">
      <w:pPr>
        <w:widowControl/>
        <w:spacing w:line="288" w:lineRule="auto"/>
        <w:ind w:right="62"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4C7F8B" w:rsidRDefault="004C7F8B" w:rsidP="004C7F8B">
      <w:pPr>
        <w:spacing w:line="288" w:lineRule="auto"/>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4C7F8B" w:rsidTr="00DA33F0">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rPr>
                <w:rFonts w:ascii="宋体" w:hAnsi="宋体"/>
                <w:spacing w:val="-6"/>
                <w:sz w:val="21"/>
                <w:szCs w:val="21"/>
              </w:rPr>
            </w:pPr>
            <w:r>
              <w:rPr>
                <w:rFonts w:ascii="宋体" w:hAnsi="宋体" w:hint="eastAsia"/>
                <w:spacing w:val="-6"/>
                <w:sz w:val="21"/>
                <w:szCs w:val="21"/>
              </w:rPr>
              <w:t>1.合同签订后，中标人需要交合同总价5%的履约保证金，履约保证金在服务期满后若无服务质量问题15个工作日内无息退还；</w:t>
            </w:r>
          </w:p>
          <w:p w:rsidR="004C7F8B" w:rsidRDefault="004C7F8B" w:rsidP="00DA33F0">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4C7F8B" w:rsidTr="00DA33F0">
        <w:trPr>
          <w:trHeight w:val="561"/>
          <w:jc w:val="center"/>
        </w:trPr>
        <w:tc>
          <w:tcPr>
            <w:tcW w:w="1843"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rPr>
                <w:rFonts w:ascii="宋体" w:hAnsi="宋体"/>
                <w:spacing w:val="-6"/>
                <w:sz w:val="21"/>
                <w:szCs w:val="21"/>
              </w:rPr>
            </w:pPr>
            <w:r>
              <w:rPr>
                <w:rFonts w:ascii="宋体" w:hAnsi="宋体" w:hint="eastAsia"/>
                <w:spacing w:val="-6"/>
                <w:sz w:val="21"/>
                <w:szCs w:val="21"/>
              </w:rPr>
              <w:t>项目完成后，在项目实施过程满足采购人要求，采购人向成交供应商支付合同金额的100%。</w:t>
            </w:r>
          </w:p>
        </w:tc>
      </w:tr>
    </w:tbl>
    <w:p w:rsidR="004C7F8B" w:rsidRDefault="004C7F8B" w:rsidP="004C7F8B">
      <w:pPr>
        <w:spacing w:line="288" w:lineRule="auto"/>
        <w:ind w:left="272" w:hangingChars="113" w:hanging="272"/>
        <w:rPr>
          <w:rFonts w:ascii="宋体" w:hAnsi="宋体"/>
          <w:b/>
          <w:sz w:val="24"/>
        </w:rPr>
      </w:pPr>
    </w:p>
    <w:p w:rsidR="004C7F8B" w:rsidRDefault="004C7F8B" w:rsidP="004C7F8B">
      <w:pPr>
        <w:spacing w:line="288" w:lineRule="auto"/>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9498"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4C7F8B" w:rsidTr="00DA33F0">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rPr>
                <w:rFonts w:ascii="宋体" w:hAnsi="宋体"/>
                <w:spacing w:val="-6"/>
                <w:sz w:val="21"/>
                <w:szCs w:val="21"/>
              </w:rPr>
            </w:pPr>
            <w:r>
              <w:rPr>
                <w:rFonts w:ascii="宋体" w:hAnsi="宋体"/>
                <w:spacing w:val="-6"/>
                <w:sz w:val="21"/>
                <w:szCs w:val="21"/>
              </w:rPr>
              <w:t>视</w:t>
            </w:r>
            <w:r>
              <w:rPr>
                <w:rFonts w:ascii="宋体" w:hAnsi="宋体" w:hint="eastAsia"/>
                <w:sz w:val="21"/>
                <w:szCs w:val="21"/>
              </w:rPr>
              <w:t>“双色球12亿元大派奖”活动时间确定。</w:t>
            </w:r>
          </w:p>
        </w:tc>
      </w:tr>
      <w:tr w:rsidR="004C7F8B" w:rsidTr="00DA33F0">
        <w:trPr>
          <w:trHeight w:val="567"/>
          <w:jc w:val="center"/>
        </w:trPr>
        <w:tc>
          <w:tcPr>
            <w:tcW w:w="1843"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4C7F8B" w:rsidRDefault="004C7F8B" w:rsidP="00DA33F0">
            <w:pPr>
              <w:spacing w:line="288" w:lineRule="auto"/>
              <w:rPr>
                <w:rFonts w:ascii="宋体" w:hAnsi="宋体"/>
                <w:sz w:val="21"/>
                <w:szCs w:val="21"/>
              </w:rPr>
            </w:pPr>
            <w:r>
              <w:rPr>
                <w:rFonts w:ascii="宋体" w:hAnsi="宋体" w:hint="eastAsia"/>
                <w:sz w:val="21"/>
                <w:szCs w:val="21"/>
              </w:rPr>
              <w:t>服务过程中出现问题应及时回应，2小时内到现场，特别重大须1小时内应急处理。</w:t>
            </w:r>
          </w:p>
        </w:tc>
      </w:tr>
    </w:tbl>
    <w:p w:rsidR="004C7F8B" w:rsidRDefault="004C7F8B" w:rsidP="004C7F8B">
      <w:pPr>
        <w:spacing w:line="288" w:lineRule="auto"/>
        <w:rPr>
          <w:rFonts w:ascii="宋体" w:hAnsi="宋体"/>
          <w:sz w:val="21"/>
          <w:szCs w:val="21"/>
        </w:rPr>
      </w:pPr>
    </w:p>
    <w:p w:rsidR="004C7F8B" w:rsidRDefault="004C7F8B" w:rsidP="004C7F8B">
      <w:pPr>
        <w:spacing w:line="288" w:lineRule="auto"/>
        <w:outlineLvl w:val="1"/>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为进一步提升福彩双色球品牌影响力，将福彩“公益、慈善、健康、快乐、创新”的文化传递给更多的人，于今年双色球“12亿元大派奖”活动之际，拟开展“线下公益跑，线上微信有奖互动”的“双色球嘉年华”活动，挖掘潜在彩民，壮大彩民队伍，践行“寓募于乐，多人少买”的购彩理念，实现浙江福彩健康高质量发展，开展此次招标工作。</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服务需求</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针对“双色球12亿元大派奖”活动，组织以“双色球12亿元大派奖”促销活动为主题的公益跑活动；开展微信服务号有奖互动活动；宣传推广，定制相应的宣传品、宣传物料和奖励（实物奖品和现金红包），设计制作传播内容（包括海报、创意H5、短视频等）在相应平台进行宣传推广，让更多人了解此次活动，号召更多人参与其中。涉及但不仅限于以下内容：</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1.“双色球”地推活动</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举办福彩“双色球”公益跑活动（活动名称另取，要符合宣传亮点）。借助活动宣传推广：福彩“双色球”12亿元大派奖和浙江福彩配套促销活动于X月X日开卖（X月X日开奖）。具体为：活动策划、场地落实、布置及宣传物料、宣传品等。该项宣传品须为印有活动标识的运动用品套装（含背包袋1个，主题LOGO文化衫1件，品牌长袖快干衣1件，护腕1个，运动帽1顶，小零食若干，总共不少于1000套），统一设计活动标识、背景、宣传名等。公益跑起点设置若干暖场表演活动和趣味小游戏互动，赛道每隔一定距离设置打卡及补给点。参与者跑至终点可依据打卡积分兑换礼品或参与抽奖。</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公益跑活动参与人数不低于1000人，场地选址以杭州著名景点为主（如西湖、运河、樱花大道等），具体参考活动策划方案与场地融合性，突出场地特色。</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2.浙江福彩官方微信有奖互动活动</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设计开发趣味性强的有奖互动小游戏微信程序，接入浙江福彩官方微信服务号，合理设</w:t>
      </w:r>
      <w:r>
        <w:rPr>
          <w:rFonts w:ascii="宋体" w:hAnsi="宋体" w:hint="eastAsia"/>
          <w:sz w:val="21"/>
          <w:szCs w:val="21"/>
        </w:rPr>
        <w:lastRenderedPageBreak/>
        <w:t>置中奖率，并设计奖品奖项设置，奖品包括实物奖（如华为Mate30、华为手表、蓝牙耳机等）及微信现金红包。投入费用不低于50万元（含程序开发运维），用于实物奖品及现金红包不低于80%。</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3.宣传</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要求根据中福彩中心设计元素、12亿元大派奖和浙江福彩配套促销活动内容及活动内容，融合公益、快乐理念组织15篇软文，3个H5，3个短视频，系列创意海报等，并广泛宣传推广，曝光量不低于1500万，需配备户外大型广告宣传，如西湖天幕、杭州地铁车厢全内包等（诸如此类，但不限于此）。</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4.服务团队</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服务团队需配备美工、专业活动策划和执行、微信运营、软件（游戏）开发、客服等专业人员，必须了解福彩业务，理解福彩文化。</w:t>
      </w:r>
    </w:p>
    <w:p w:rsidR="004C7F8B" w:rsidRDefault="004C7F8B" w:rsidP="004C7F8B">
      <w:pPr>
        <w:spacing w:line="288" w:lineRule="auto"/>
        <w:ind w:firstLineChars="200" w:firstLine="422"/>
        <w:rPr>
          <w:rFonts w:ascii="宋体" w:hAnsi="宋体"/>
          <w:b/>
          <w:bCs/>
          <w:sz w:val="21"/>
          <w:szCs w:val="21"/>
        </w:rPr>
      </w:pPr>
      <w:r>
        <w:rPr>
          <w:rFonts w:ascii="宋体" w:hAnsi="宋体" w:hint="eastAsia"/>
          <w:b/>
          <w:bCs/>
          <w:sz w:val="21"/>
          <w:szCs w:val="21"/>
        </w:rPr>
        <w:t>费用说明</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本项目采购预算为150万，浙江福彩官方微信服务号有奖互动小游戏程序开发及奖品发放不低于50万元，其余用于公益跑策划及执行，整体活动宣传推广费和服务费等。</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整体项目所涉及费用均已含于报价中。</w:t>
      </w:r>
    </w:p>
    <w:p w:rsidR="004C7F8B" w:rsidRDefault="004C7F8B" w:rsidP="004C7F8B">
      <w:pPr>
        <w:spacing w:line="288" w:lineRule="auto"/>
        <w:ind w:firstLineChars="200" w:firstLine="420"/>
        <w:rPr>
          <w:rFonts w:ascii="宋体" w:hAnsi="宋体"/>
          <w:sz w:val="21"/>
          <w:szCs w:val="21"/>
        </w:rPr>
      </w:pPr>
    </w:p>
    <w:p w:rsidR="004C7F8B" w:rsidRDefault="004C7F8B" w:rsidP="004C7F8B">
      <w:pPr>
        <w:spacing w:line="288" w:lineRule="auto"/>
        <w:ind w:firstLineChars="200" w:firstLine="422"/>
        <w:rPr>
          <w:rFonts w:ascii="宋体" w:hAnsi="宋体"/>
          <w:b/>
          <w:sz w:val="21"/>
          <w:szCs w:val="21"/>
        </w:rPr>
      </w:pPr>
      <w:r>
        <w:rPr>
          <w:rFonts w:ascii="宋体" w:hAnsi="宋体" w:hint="eastAsia"/>
          <w:b/>
          <w:sz w:val="21"/>
          <w:szCs w:val="21"/>
        </w:rPr>
        <w:t>现场演示：</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1、投标人须提供软件实物演示，演示内容：</w:t>
      </w:r>
      <w:r>
        <w:rPr>
          <w:rFonts w:ascii="宋体" w:hAnsi="宋体" w:cs="宋体" w:hint="eastAsia"/>
          <w:kern w:val="0"/>
          <w:sz w:val="21"/>
          <w:szCs w:val="21"/>
        </w:rPr>
        <w:t>公益活动方案演示效果，形式不限。</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2、演示时间不超过15分钟，演示过程需要准备的器材、软件、网络等设施由投标人自行准备；</w:t>
      </w:r>
    </w:p>
    <w:p w:rsidR="004C7F8B" w:rsidRDefault="004C7F8B" w:rsidP="004C7F8B">
      <w:pPr>
        <w:spacing w:line="288" w:lineRule="auto"/>
        <w:ind w:firstLineChars="200" w:firstLine="420"/>
        <w:rPr>
          <w:rFonts w:ascii="宋体" w:hAnsi="宋体"/>
          <w:sz w:val="21"/>
          <w:szCs w:val="21"/>
        </w:rPr>
      </w:pPr>
      <w:r>
        <w:rPr>
          <w:rFonts w:ascii="宋体" w:hAnsi="宋体" w:hint="eastAsia"/>
          <w:sz w:val="21"/>
          <w:szCs w:val="21"/>
        </w:rPr>
        <w:t>3、未提供演示的，演示分为0分。</w:t>
      </w:r>
    </w:p>
    <w:p w:rsidR="004C7F8B" w:rsidRDefault="004C7F8B" w:rsidP="004C7F8B">
      <w:pPr>
        <w:spacing w:line="288" w:lineRule="auto"/>
        <w:rPr>
          <w:rFonts w:ascii="宋体" w:hAnsi="宋体"/>
          <w:sz w:val="21"/>
          <w:szCs w:val="21"/>
        </w:rPr>
      </w:pPr>
    </w:p>
    <w:p w:rsidR="004C7F8B" w:rsidRDefault="004C7F8B" w:rsidP="004C7F8B">
      <w:pPr>
        <w:spacing w:line="288" w:lineRule="auto"/>
        <w:rPr>
          <w:rFonts w:ascii="宋体" w:hAnsi="宋体"/>
          <w:b/>
          <w:sz w:val="21"/>
          <w:szCs w:val="21"/>
        </w:rPr>
      </w:pPr>
      <w:r>
        <w:rPr>
          <w:rFonts w:ascii="宋体" w:hAnsi="宋体" w:hint="eastAsia"/>
          <w:b/>
          <w:sz w:val="21"/>
          <w:szCs w:val="21"/>
        </w:rPr>
        <w:t>注：如技术要求中未特别注明需执行的国家相关标准、行业标准、地方标准或者其他标准、规范，则统一执行最新标准、规范。</w:t>
      </w:r>
    </w:p>
    <w:p w:rsidR="00946D68" w:rsidRPr="004C7F8B" w:rsidRDefault="00946D68"/>
    <w:sectPr w:rsidR="00946D68" w:rsidRPr="004C7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D68" w:rsidRDefault="00946D68" w:rsidP="004C7F8B">
      <w:r>
        <w:separator/>
      </w:r>
    </w:p>
  </w:endnote>
  <w:endnote w:type="continuationSeparator" w:id="1">
    <w:p w:rsidR="00946D68" w:rsidRDefault="00946D68" w:rsidP="004C7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D68" w:rsidRDefault="00946D68" w:rsidP="004C7F8B">
      <w:r>
        <w:separator/>
      </w:r>
    </w:p>
  </w:footnote>
  <w:footnote w:type="continuationSeparator" w:id="1">
    <w:p w:rsidR="00946D68" w:rsidRDefault="00946D68" w:rsidP="004C7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7F8B"/>
    <w:rsid w:val="004C7F8B"/>
    <w:rsid w:val="00946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8B"/>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7F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7F8B"/>
    <w:rPr>
      <w:sz w:val="18"/>
      <w:szCs w:val="18"/>
    </w:rPr>
  </w:style>
  <w:style w:type="paragraph" w:styleId="a4">
    <w:name w:val="footer"/>
    <w:basedOn w:val="a"/>
    <w:link w:val="Char0"/>
    <w:uiPriority w:val="99"/>
    <w:semiHidden/>
    <w:unhideWhenUsed/>
    <w:rsid w:val="004C7F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7F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2019-09-29T08:18:00Z</dcterms:created>
  <dcterms:modified xsi:type="dcterms:W3CDTF">2019-09-29T08:18:00Z</dcterms:modified>
</cp:coreProperties>
</file>