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38" w:rsidRDefault="00313638" w:rsidP="00313638">
      <w:pPr>
        <w:widowControl/>
        <w:spacing w:line="288" w:lineRule="auto"/>
        <w:ind w:right="62" w:firstLineChars="200" w:firstLine="643"/>
        <w:jc w:val="center"/>
        <w:outlineLvl w:val="0"/>
        <w:rPr>
          <w:rFonts w:ascii="宋体" w:hAnsi="宋体" w:cs="宋体"/>
          <w:spacing w:val="-6"/>
          <w:kern w:val="0"/>
          <w:sz w:val="21"/>
          <w:szCs w:val="21"/>
        </w:rPr>
      </w:pPr>
      <w:r>
        <w:rPr>
          <w:rFonts w:ascii="宋体" w:hAnsi="宋体" w:hint="eastAsia"/>
          <w:b/>
          <w:bCs/>
          <w:sz w:val="32"/>
          <w:szCs w:val="32"/>
        </w:rPr>
        <w:t>采购需求</w:t>
      </w:r>
    </w:p>
    <w:p w:rsidR="00313638" w:rsidRDefault="00313638" w:rsidP="00313638">
      <w:pPr>
        <w:spacing w:line="288" w:lineRule="auto"/>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313638" w:rsidTr="00F721B0">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313638" w:rsidRDefault="00313638" w:rsidP="00F721B0">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313638" w:rsidRDefault="00313638" w:rsidP="00F721B0">
            <w:pPr>
              <w:spacing w:line="288" w:lineRule="auto"/>
              <w:rPr>
                <w:rFonts w:ascii="宋体" w:hAnsi="宋体"/>
                <w:spacing w:val="-6"/>
                <w:sz w:val="21"/>
                <w:szCs w:val="21"/>
              </w:rPr>
            </w:pPr>
            <w:r>
              <w:rPr>
                <w:rFonts w:ascii="宋体" w:hAnsi="宋体" w:hint="eastAsia"/>
                <w:spacing w:val="-6"/>
                <w:sz w:val="21"/>
                <w:szCs w:val="21"/>
              </w:rPr>
              <w:t>合同签订后一周内，成交供应商向采购人提交合同金额5%的履约保证金，履约保证金在服务期内无质量问题，服务期满后，凭采购人开具的收款收据原件于20天内退还（不计息）。</w:t>
            </w:r>
          </w:p>
        </w:tc>
      </w:tr>
      <w:tr w:rsidR="00313638" w:rsidTr="00F721B0">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313638" w:rsidRDefault="00313638" w:rsidP="00F721B0">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313638" w:rsidRDefault="00313638" w:rsidP="00F721B0">
            <w:pPr>
              <w:spacing w:line="288" w:lineRule="auto"/>
              <w:rPr>
                <w:rFonts w:ascii="宋体" w:hAnsi="宋体"/>
                <w:spacing w:val="-6"/>
                <w:sz w:val="21"/>
                <w:szCs w:val="21"/>
              </w:rPr>
            </w:pPr>
            <w:r>
              <w:rPr>
                <w:rFonts w:ascii="宋体" w:hAnsi="宋体" w:hint="eastAsia"/>
                <w:spacing w:val="-6"/>
                <w:sz w:val="21"/>
                <w:szCs w:val="21"/>
              </w:rPr>
              <w:t>银行转账，运营一个月并由采购人验收合格后10个工作日内，支付本项目的75%，服务合同期满10个月后支付项目剩余款项，合同期满，在合同执行过程符合服务满足采购人合同及磋商文件要求，并移交顺利，如有扣违约金和赔偿情况发生，在扣除成交供应商需承担的违约金和赔偿款后付清余款。</w:t>
            </w:r>
          </w:p>
        </w:tc>
      </w:tr>
    </w:tbl>
    <w:p w:rsidR="00313638" w:rsidRDefault="00313638" w:rsidP="00313638">
      <w:pPr>
        <w:spacing w:line="288" w:lineRule="auto"/>
        <w:ind w:left="272" w:hangingChars="113" w:hanging="272"/>
        <w:rPr>
          <w:rFonts w:ascii="宋体" w:hAnsi="宋体"/>
          <w:b/>
          <w:sz w:val="24"/>
        </w:rPr>
      </w:pPr>
    </w:p>
    <w:p w:rsidR="00313638" w:rsidRDefault="00313638" w:rsidP="00313638">
      <w:pPr>
        <w:spacing w:line="288" w:lineRule="auto"/>
        <w:outlineLvl w:val="1"/>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z w:val="24"/>
        </w:rPr>
        <w:t>（技术要求里另有注明的以技术要求为准）</w:t>
      </w:r>
      <w:r>
        <w:rPr>
          <w:rFonts w:ascii="宋体" w:hAnsi="宋体"/>
          <w:b/>
          <w:sz w:val="24"/>
        </w:rPr>
        <w:t>：</w:t>
      </w:r>
    </w:p>
    <w:p w:rsidR="00313638" w:rsidRDefault="00313638" w:rsidP="00313638">
      <w:pPr>
        <w:spacing w:line="288" w:lineRule="auto"/>
        <w:ind w:firstLineChars="200" w:firstLine="422"/>
        <w:rPr>
          <w:rFonts w:ascii="宋体" w:hAnsi="宋体"/>
          <w:b/>
          <w:bCs/>
          <w:sz w:val="21"/>
          <w:szCs w:val="21"/>
        </w:rPr>
      </w:pPr>
    </w:p>
    <w:p w:rsidR="00313638" w:rsidRDefault="00313638" w:rsidP="00313638">
      <w:pPr>
        <w:spacing w:line="288" w:lineRule="auto"/>
        <w:ind w:firstLineChars="200" w:firstLine="422"/>
        <w:rPr>
          <w:rFonts w:ascii="宋体" w:hAnsi="宋体"/>
          <w:b/>
          <w:bCs/>
          <w:sz w:val="21"/>
          <w:szCs w:val="21"/>
        </w:rPr>
      </w:pPr>
      <w:r>
        <w:rPr>
          <w:rFonts w:ascii="宋体" w:hAnsi="宋体" w:hint="eastAsia"/>
          <w:b/>
          <w:bCs/>
          <w:sz w:val="21"/>
          <w:szCs w:val="21"/>
        </w:rPr>
        <w:t>服务期（自合同签订之日起一年）内，成交供应商向采购人提供磋商文件涉及的所有内容，包括以下服务：</w:t>
      </w:r>
    </w:p>
    <w:p w:rsidR="00313638" w:rsidRDefault="00313638" w:rsidP="00313638">
      <w:pPr>
        <w:spacing w:line="288" w:lineRule="auto"/>
        <w:ind w:firstLineChars="200" w:firstLine="422"/>
        <w:rPr>
          <w:rFonts w:ascii="宋体" w:hAnsi="宋体"/>
          <w:b/>
          <w:bCs/>
          <w:sz w:val="21"/>
          <w:szCs w:val="21"/>
        </w:rPr>
      </w:pPr>
      <w:r>
        <w:rPr>
          <w:rFonts w:ascii="宋体" w:hAnsi="宋体" w:hint="eastAsia"/>
          <w:b/>
          <w:bCs/>
          <w:sz w:val="21"/>
          <w:szCs w:val="21"/>
        </w:rPr>
        <w:t>（1）《福彩舆情应对快报》</w:t>
      </w:r>
    </w:p>
    <w:p w:rsidR="00313638" w:rsidRDefault="00313638" w:rsidP="00313638">
      <w:pPr>
        <w:spacing w:line="288" w:lineRule="auto"/>
        <w:ind w:firstLineChars="200" w:firstLine="420"/>
        <w:rPr>
          <w:rFonts w:ascii="宋体" w:hAnsi="宋体"/>
          <w:sz w:val="21"/>
          <w:szCs w:val="21"/>
        </w:rPr>
      </w:pPr>
      <w:r>
        <w:rPr>
          <w:rFonts w:ascii="宋体" w:hAnsi="宋体" w:hint="eastAsia"/>
          <w:sz w:val="21"/>
          <w:szCs w:val="21"/>
        </w:rPr>
        <w:t>日常监测到重要的舆情，以短信、app弹窗等形式，迅速报告浙江省福彩中心规定范围的责任人。事后再以电子文档或者WORD纸质形式正式报送浙江省福彩中心宣传部存档。</w:t>
      </w:r>
    </w:p>
    <w:p w:rsidR="00313638" w:rsidRDefault="00313638" w:rsidP="00313638">
      <w:pPr>
        <w:spacing w:line="288" w:lineRule="auto"/>
        <w:ind w:firstLineChars="200" w:firstLine="422"/>
        <w:rPr>
          <w:rFonts w:ascii="宋体" w:hAnsi="宋体"/>
          <w:b/>
          <w:bCs/>
          <w:sz w:val="21"/>
          <w:szCs w:val="21"/>
        </w:rPr>
      </w:pPr>
      <w:r>
        <w:rPr>
          <w:rFonts w:ascii="宋体" w:hAnsi="宋体" w:hint="eastAsia"/>
          <w:b/>
          <w:bCs/>
          <w:sz w:val="21"/>
          <w:szCs w:val="21"/>
        </w:rPr>
        <w:t>（2）《福彩舆情应对专报》</w:t>
      </w:r>
    </w:p>
    <w:p w:rsidR="00313638" w:rsidRDefault="00313638" w:rsidP="00313638">
      <w:pPr>
        <w:spacing w:line="288" w:lineRule="auto"/>
        <w:ind w:firstLineChars="200" w:firstLine="420"/>
        <w:rPr>
          <w:rFonts w:ascii="宋体" w:hAnsi="宋体"/>
          <w:sz w:val="21"/>
          <w:szCs w:val="21"/>
        </w:rPr>
      </w:pPr>
      <w:r>
        <w:rPr>
          <w:rFonts w:ascii="宋体" w:hAnsi="宋体" w:hint="eastAsia"/>
          <w:sz w:val="21"/>
          <w:szCs w:val="21"/>
        </w:rPr>
        <w:t>按舆情分级要求对重要舆情（1-4级）和重大突发事件提供《福彩舆情专报》。</w:t>
      </w:r>
    </w:p>
    <w:p w:rsidR="00313638" w:rsidRDefault="00313638" w:rsidP="00313638">
      <w:pPr>
        <w:spacing w:line="288" w:lineRule="auto"/>
        <w:ind w:firstLineChars="200" w:firstLine="422"/>
        <w:rPr>
          <w:rFonts w:ascii="宋体" w:hAnsi="宋体"/>
          <w:b/>
          <w:bCs/>
          <w:sz w:val="21"/>
          <w:szCs w:val="21"/>
        </w:rPr>
      </w:pPr>
      <w:r>
        <w:rPr>
          <w:rFonts w:ascii="宋体" w:hAnsi="宋体" w:hint="eastAsia"/>
          <w:b/>
          <w:bCs/>
          <w:sz w:val="21"/>
          <w:szCs w:val="21"/>
        </w:rPr>
        <w:t>（3）《福彩舆情半月报》</w:t>
      </w:r>
    </w:p>
    <w:p w:rsidR="00313638" w:rsidRDefault="00313638" w:rsidP="00313638">
      <w:pPr>
        <w:spacing w:line="288" w:lineRule="auto"/>
        <w:ind w:firstLineChars="200" w:firstLine="420"/>
        <w:rPr>
          <w:rFonts w:ascii="宋体" w:hAnsi="宋体"/>
          <w:sz w:val="21"/>
          <w:szCs w:val="21"/>
        </w:rPr>
      </w:pPr>
      <w:r>
        <w:rPr>
          <w:rFonts w:ascii="宋体" w:hAnsi="宋体" w:hint="eastAsia"/>
          <w:sz w:val="21"/>
          <w:szCs w:val="21"/>
        </w:rPr>
        <w:t>半月报数据分析范围包括彩票全行业数据，在提交分析报告时按照彩票行业动态、福彩舆情和体彩舆情、综合彩票舆情动态及分析、工作建议等；综合彩票、各类市场动态及分析、工作建议，频率每月两期，全年约24期。</w:t>
      </w:r>
    </w:p>
    <w:p w:rsidR="00313638" w:rsidRDefault="00313638" w:rsidP="00313638">
      <w:pPr>
        <w:spacing w:line="288" w:lineRule="auto"/>
        <w:ind w:firstLineChars="200" w:firstLine="420"/>
        <w:rPr>
          <w:rFonts w:ascii="宋体" w:hAnsi="宋体"/>
          <w:sz w:val="21"/>
          <w:szCs w:val="21"/>
        </w:rPr>
      </w:pPr>
      <w:r>
        <w:rPr>
          <w:rFonts w:ascii="宋体" w:hAnsi="宋体" w:hint="eastAsia"/>
          <w:sz w:val="21"/>
          <w:szCs w:val="21"/>
        </w:rPr>
        <w:t>其中《福彩舆情专报》和《福彩舆情半月报》需定期制作成纸质报告形式上传至“舆情监测服务平台”，以短信方式通知指定范围内的用户，并同步到网页PC端，发送给浙江省福彩中心指定的用户；同时报送给浙江省福彩中心宣传部，通过舆情平台PC端下载Word报告。</w:t>
      </w:r>
    </w:p>
    <w:p w:rsidR="00313638" w:rsidRDefault="00313638" w:rsidP="00313638">
      <w:pPr>
        <w:spacing w:line="288" w:lineRule="auto"/>
        <w:ind w:firstLineChars="200" w:firstLine="422"/>
        <w:rPr>
          <w:rFonts w:ascii="宋体" w:hAnsi="宋体"/>
          <w:b/>
          <w:bCs/>
          <w:sz w:val="21"/>
          <w:szCs w:val="21"/>
        </w:rPr>
      </w:pPr>
      <w:r>
        <w:rPr>
          <w:rFonts w:ascii="宋体" w:hAnsi="宋体" w:hint="eastAsia"/>
          <w:b/>
          <w:bCs/>
          <w:sz w:val="21"/>
          <w:szCs w:val="21"/>
        </w:rPr>
        <w:t>（4）增值服务和专业培训</w:t>
      </w:r>
    </w:p>
    <w:p w:rsidR="00313638" w:rsidRDefault="00313638" w:rsidP="00313638">
      <w:pPr>
        <w:spacing w:line="288" w:lineRule="auto"/>
        <w:ind w:firstLineChars="200" w:firstLine="420"/>
        <w:rPr>
          <w:rFonts w:ascii="宋体" w:hAnsi="宋体"/>
          <w:sz w:val="21"/>
          <w:szCs w:val="21"/>
        </w:rPr>
      </w:pPr>
      <w:r>
        <w:rPr>
          <w:rFonts w:ascii="宋体" w:hAnsi="宋体" w:hint="eastAsia"/>
          <w:sz w:val="21"/>
          <w:szCs w:val="21"/>
        </w:rPr>
        <w:t>择期邀请舆情工作专家及省内各大主流媒体专家开展针对浙江福彩及各地市福彩中心领导、工作人员，开展学习交流会，制定相应的培训内容，分析舆情案例，协助浙江福彩各级部门负责人提高舆情素养，把握正确的舆情管理技巧。走进福彩公益项目，邀请主流媒体走进福彩公益项目，增进媒体与福彩互相了解。</w:t>
      </w:r>
    </w:p>
    <w:p w:rsidR="00313638" w:rsidRDefault="00313638" w:rsidP="00313638">
      <w:pPr>
        <w:spacing w:line="288" w:lineRule="auto"/>
        <w:ind w:firstLineChars="200" w:firstLine="422"/>
        <w:rPr>
          <w:rFonts w:ascii="宋体" w:hAnsi="宋体"/>
          <w:b/>
          <w:bCs/>
          <w:sz w:val="21"/>
          <w:szCs w:val="21"/>
        </w:rPr>
      </w:pPr>
      <w:r>
        <w:rPr>
          <w:rFonts w:ascii="宋体" w:hAnsi="宋体" w:hint="eastAsia"/>
          <w:b/>
          <w:bCs/>
          <w:sz w:val="21"/>
          <w:szCs w:val="21"/>
        </w:rPr>
        <w:t>（5）重大突发舆情应急处理</w:t>
      </w:r>
    </w:p>
    <w:p w:rsidR="00313638" w:rsidRDefault="00313638" w:rsidP="00313638">
      <w:pPr>
        <w:spacing w:line="288" w:lineRule="auto"/>
        <w:ind w:firstLineChars="200" w:firstLine="420"/>
        <w:rPr>
          <w:rFonts w:ascii="宋体" w:hAnsi="宋体"/>
          <w:sz w:val="21"/>
          <w:szCs w:val="21"/>
        </w:rPr>
      </w:pPr>
      <w:r>
        <w:rPr>
          <w:rFonts w:ascii="宋体" w:hAnsi="宋体" w:hint="eastAsia"/>
          <w:sz w:val="21"/>
          <w:szCs w:val="21"/>
        </w:rPr>
        <w:t>根据中彩中心舆情分级要求制定符合浙江福彩根据舆情分级及舆情紧急响应机制，出现重大突发舆情时，提供舆情应对方案，通过优化搜索，引入信息对冲等手段或通过一定的方式方法使福彩正面新闻信息易见易搜并最大程度曝光，将负面信息影响降至最低。</w:t>
      </w:r>
    </w:p>
    <w:p w:rsidR="00313638" w:rsidRDefault="00313638" w:rsidP="00313638">
      <w:pPr>
        <w:spacing w:line="288" w:lineRule="auto"/>
        <w:ind w:firstLineChars="200" w:firstLine="422"/>
        <w:rPr>
          <w:rFonts w:ascii="宋体" w:hAnsi="宋体"/>
          <w:b/>
          <w:bCs/>
          <w:sz w:val="21"/>
          <w:szCs w:val="21"/>
        </w:rPr>
      </w:pPr>
      <w:r>
        <w:rPr>
          <w:rFonts w:ascii="宋体" w:hAnsi="宋体" w:hint="eastAsia"/>
          <w:b/>
          <w:bCs/>
          <w:sz w:val="21"/>
          <w:szCs w:val="21"/>
        </w:rPr>
        <w:t>响应文件中提供专业安全的舆情监测系统相应证明或有效证书复印件。</w:t>
      </w:r>
    </w:p>
    <w:p w:rsidR="00313638" w:rsidRDefault="00313638" w:rsidP="00313638">
      <w:pPr>
        <w:spacing w:line="288" w:lineRule="auto"/>
        <w:rPr>
          <w:rFonts w:ascii="宋体" w:hAnsi="宋体"/>
          <w:sz w:val="21"/>
          <w:szCs w:val="21"/>
        </w:rPr>
      </w:pPr>
    </w:p>
    <w:p w:rsidR="00313638" w:rsidRDefault="00313638" w:rsidP="00313638">
      <w:pPr>
        <w:spacing w:line="288" w:lineRule="auto"/>
        <w:rPr>
          <w:rFonts w:ascii="宋体" w:hAnsi="宋体"/>
          <w:b/>
          <w:bCs/>
          <w:sz w:val="21"/>
          <w:szCs w:val="21"/>
        </w:rPr>
      </w:pPr>
      <w:r>
        <w:rPr>
          <w:rFonts w:ascii="宋体" w:hAnsi="宋体" w:hint="eastAsia"/>
          <w:b/>
          <w:bCs/>
          <w:sz w:val="21"/>
          <w:szCs w:val="21"/>
        </w:rPr>
        <w:t>现场演示：</w:t>
      </w:r>
    </w:p>
    <w:p w:rsidR="00313638" w:rsidRDefault="00313638" w:rsidP="00313638">
      <w:pPr>
        <w:spacing w:line="288" w:lineRule="auto"/>
        <w:rPr>
          <w:rFonts w:ascii="宋体" w:hAnsi="宋体"/>
          <w:b/>
          <w:bCs/>
          <w:sz w:val="21"/>
          <w:szCs w:val="21"/>
        </w:rPr>
      </w:pPr>
      <w:r>
        <w:rPr>
          <w:rFonts w:ascii="宋体" w:hAnsi="宋体" w:hint="eastAsia"/>
          <w:b/>
          <w:bCs/>
          <w:sz w:val="21"/>
          <w:szCs w:val="21"/>
        </w:rPr>
        <w:t>1.供应商须提供舆情监测系统现场演示，演示内容详见评分标准；</w:t>
      </w:r>
    </w:p>
    <w:p w:rsidR="00313638" w:rsidRDefault="00313638" w:rsidP="00313638">
      <w:pPr>
        <w:spacing w:line="288" w:lineRule="auto"/>
        <w:rPr>
          <w:rFonts w:ascii="宋体" w:hAnsi="宋体"/>
          <w:b/>
          <w:bCs/>
          <w:sz w:val="21"/>
          <w:szCs w:val="21"/>
        </w:rPr>
      </w:pPr>
      <w:r>
        <w:rPr>
          <w:rFonts w:ascii="宋体" w:hAnsi="宋体" w:hint="eastAsia"/>
          <w:b/>
          <w:bCs/>
          <w:sz w:val="21"/>
          <w:szCs w:val="21"/>
        </w:rPr>
        <w:t>2.演示时间不超过10分钟，演示过程需要准备的器材、软件、网络等设施由供应商自行准备；</w:t>
      </w:r>
    </w:p>
    <w:p w:rsidR="00313638" w:rsidRDefault="00313638" w:rsidP="00313638">
      <w:pPr>
        <w:spacing w:line="288" w:lineRule="auto"/>
        <w:rPr>
          <w:rFonts w:ascii="宋体" w:hAnsi="宋体"/>
          <w:b/>
          <w:bCs/>
          <w:sz w:val="21"/>
          <w:szCs w:val="21"/>
        </w:rPr>
      </w:pPr>
      <w:r>
        <w:rPr>
          <w:rFonts w:ascii="宋体" w:hAnsi="宋体" w:hint="eastAsia"/>
          <w:b/>
          <w:bCs/>
          <w:sz w:val="21"/>
          <w:szCs w:val="21"/>
        </w:rPr>
        <w:t>3.未提供演示的，演示分为0分。</w:t>
      </w:r>
    </w:p>
    <w:p w:rsidR="00313638" w:rsidRDefault="00313638" w:rsidP="00313638">
      <w:pPr>
        <w:spacing w:line="288" w:lineRule="auto"/>
        <w:rPr>
          <w:rFonts w:ascii="宋体" w:hAnsi="宋体"/>
          <w:sz w:val="21"/>
          <w:szCs w:val="21"/>
        </w:rPr>
      </w:pPr>
    </w:p>
    <w:p w:rsidR="00313638" w:rsidRDefault="00313638" w:rsidP="00313638">
      <w:pPr>
        <w:spacing w:line="288" w:lineRule="auto"/>
        <w:rPr>
          <w:rFonts w:ascii="宋体" w:hAnsi="宋体"/>
          <w:b/>
          <w:sz w:val="21"/>
          <w:szCs w:val="21"/>
        </w:rPr>
      </w:pPr>
      <w:r>
        <w:rPr>
          <w:rFonts w:ascii="宋体" w:hAnsi="宋体" w:hint="eastAsia"/>
          <w:b/>
          <w:sz w:val="21"/>
          <w:szCs w:val="21"/>
        </w:rPr>
        <w:t>注：如技术要求中未特别注明需执行的国家相关标准、行业标准、地方标准或者其他标准、规范，则统一执行最新标准、规范。</w:t>
      </w:r>
    </w:p>
    <w:p w:rsidR="00DB37DC" w:rsidRDefault="00DB37DC"/>
    <w:sectPr w:rsidR="00DB3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DC" w:rsidRDefault="00DB37DC" w:rsidP="00313638">
      <w:r>
        <w:separator/>
      </w:r>
    </w:p>
  </w:endnote>
  <w:endnote w:type="continuationSeparator" w:id="1">
    <w:p w:rsidR="00DB37DC" w:rsidRDefault="00DB37DC" w:rsidP="003136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DC" w:rsidRDefault="00DB37DC" w:rsidP="00313638">
      <w:r>
        <w:separator/>
      </w:r>
    </w:p>
  </w:footnote>
  <w:footnote w:type="continuationSeparator" w:id="1">
    <w:p w:rsidR="00DB37DC" w:rsidRDefault="00DB37DC" w:rsidP="00313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638"/>
    <w:rsid w:val="00313638"/>
    <w:rsid w:val="00DB3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38"/>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36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3638"/>
    <w:rPr>
      <w:sz w:val="18"/>
      <w:szCs w:val="18"/>
    </w:rPr>
  </w:style>
  <w:style w:type="paragraph" w:styleId="a4">
    <w:name w:val="footer"/>
    <w:basedOn w:val="a"/>
    <w:link w:val="Char0"/>
    <w:uiPriority w:val="99"/>
    <w:semiHidden/>
    <w:unhideWhenUsed/>
    <w:rsid w:val="003136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136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2019-09-12T08:41:00Z</dcterms:created>
  <dcterms:modified xsi:type="dcterms:W3CDTF">2019-09-12T08:41:00Z</dcterms:modified>
</cp:coreProperties>
</file>